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145</w:t>
      </w:r>
    </w:p>
    <w:p>
      <w:r>
        <w:t>Bundesgericht (BGE), 1970-11-04, DE</w:t>
      </w:r>
    </w:p>
    <w:p>
      <w:r>
        <w:rPr>
          <w:b/>
        </w:rPr>
        <w:t xml:space="preserve">Quelle: </w:t>
      </w:r>
      <w:r>
        <w:t>https://mcp.opencaselaw.ch/entscheid/bge_96 IV 145</w:t>
      </w:r>
    </w:p>
    <w:p>
      <w:r>
        <w:t>FR: ATF 96 IV 145</w:t>
      </w:r>
    </w:p>
    <w:p>
      <w:r>
        <w:t>IT: DTF 96 IV 145</w:t>
      </w:r>
    </w:p>
    <w:p>
      <w:pPr>
        <w:pStyle w:val="Heading2"/>
      </w:pPr>
      <w:r>
        <w:t>Regeste</w:t>
      </w:r>
    </w:p>
    <w:p>
      <w:r>
        <w:t>Regeste Art. 148 StGB. Wer beim Verkauf eines Autos verschweigt, dass dieses erhebliche Unfallschäden erlitten hat, und den reparierten Wagen als neuwertig anpreist, begeht eine arglistige Täuschung. Ob ein Auto als Unfallwagen zu gelten hat, richtet sich nach den allgemeinen Anschauungen des Geschäftsverkehrs (Erw. 1 und 2). Die Nichtigkeit des Kaufvertrages schliesst strafbaren Betrugsversuch nicht aus (Erw. 3).</w:t>
      </w:r>
    </w:p>
    <w:p>
      <w:pPr>
        <w:pStyle w:val="Heading2"/>
      </w:pPr>
      <w:r>
        <w:t>Erwägungen</w:t>
      </w:r>
    </w:p>
    <w:p>
      <w:r>
        <w:rPr>
          <w:b/>
        </w:rPr>
        <w:t>E. 1</w:t>
      </w:r>
    </w:p>
    <w:p>
      <w:r>
        <w:t>Der an Wegerhoff verkaufte Ford Cortina war am 23. Juni 1966 bei einer Auffahrkollision von hinten gerammt worden, wobei der linksseitige Chassis-Längsträger gestaucht wurde und Blechschäden entstanden, so dass der linke Chassis-Längsträger ersetzt und das Fahrzeug linksseitig gestreckt sowie verschiedene Bestandteile gerichtet werden mussten. Alle diese Umstände waren dem Beschwerdeführer bekannt; er selber hatte wenige Tage nach dem Unfall der damaligen Eigentümerin des Wagens ein neues Auto verkauft und im Kaufvertrag das beschädigte Fahrzeug als "Cortina Unfall 1966" bezeichnet. Anderseits wusste der Beschwerdeführer, dass Wegerhoff auf die Unfallfreiheit des zu kaufenden Wagens Gewicht legte und kein Fahrzeug erwerben wollte, das an einem Unfall beteiligt gewesen war. Der Beschwerdeführer war daher nach Treu und Glauben verpflichtet, Wegerhoff über die für den Kauf wesentliche Tatsache, dass der Ford Cortina Unfallschäden erlitten hatte, wahrheitsgemäss aufzuklären. Er verschwieg sie nicht nur, sondern behauptete gegenteils bewusst wahrheitswidrig, dass der frühere Eigentümer den Wagen wegen Anschaffung eines grösseren zurückgegeben habe, und sicherte ausserdem zu, der Wagen sei neuwertig. Diese Täuschung bestimmte Wegerhoff zum Abschluss des Kaufvertrages.</w:t>
      </w:r>
    </w:p>
    <w:p>
      <w:r>
        <w:rPr>
          <w:b/>
        </w:rPr>
        <w:t>E. 2</w:t>
      </w:r>
    </w:p>
    <w:p>
      <w:r>
        <w:t>Der Beschwerdeführer bestreitet den Täuschungsvorsatz unter Berufung darauf, dass der Ford Cortina nach den BGE 96 IV 145 S. 147 Richtlinien der freiberuflichen Fahrzeugsachverständigen beim Unfall blosse Blechschäden erlitten habe und daher kein Unfallwagen gewesen sei. Damit kann der Beschwerdeführer seine Gutgläubigkeit aber nicht dartun. Massgebend ist nicht, wie der Begriff des Unfallwagens in einem engeren Kreis von Sachverständigen für bestimmte Zwecke umschrieben wird, sondern wie der Ausdruck im allgemeinen nach Treu und Glauben im Geschäftsverkehr zu verstehen ist. Die bei der fraglichen Auffahrkollision eingetretenen Schäden betrafen u.a. das Fahrgestell, somit einen wichtigen Teil des Wagens, und waren, wie die vorgenommenen Reparaturen zeigen, erheblicher Art, so dass von einem unbedeutenden Unfall oder von reinen Blechschäden nicht die Rede sein kann. Selbst Laien im Autohandel wissen, dass nach derartigen Reparaturen mit der Möglichkeit erst später auftretender Mängel gerechnet werden muss, weshalb solche Wagen im Handel niedriger bewertet werden. Umsoweniger durfte der Beschwerdeführer als Autoverkäufer den Wagen als unfallfrei und neuwertig anpreisen. Wenn er es trotzdem tat, obschon der Käufer erfahren wollte, ob der Wagen schon an einem Unfall beteiligt gewesen sei, so versetzte er diesen bewusst in einen Irrtum, um ihn durch Täuschung zum Kaufabschluss zu verleiten. Die Vorinstanz hat zu Recht auch die Arglist bejaht. Es kann dahingestellt bleiben, ob das Verschweigen der Unfallschäden in Verbindung mit den ausdrücklich falschen Angaben nicht eine Machenschaft darstellt, die bereits als solche arglistig war. Auf jeden Fall ist dieses Merkmal dadurch gegeben, dass der Käufer den wahren Zustand des Wagens, insbesondere die Unrichtigkeit der Behauptung, er sei unfallfrei, vor Vertragsabschluss nicht ohne Beizug eines Fachmannes hätte feststellen können und dass ihm eine solche Vorkehr nicht zugemutet werden konnte ( BGE 72 IV 128 , BGE 77 IV 85 , BGE 88 I 42 ).</w:t>
      </w:r>
    </w:p>
    <w:p>
      <w:r>
        <w:rPr>
          <w:b/>
        </w:rPr>
        <w:t>E. 3</w:t>
      </w:r>
    </w:p>
    <w:p>
      <w:r>
        <w:t>Es steht fest, dass der vereinbarte Kaufpreis von Fr. 6800.-- weder dem wirklichen Wagenwert noch dem Wert entsprach, den das Fahrzeug nach den Zusicherungen des Beschwerdeführers hätte haben müssen, und dass der Beschwerdeführer in Bereicherungs- und Schädigungsabsicht gehandelt hat. Damit hat der Beschwerdeführer alles getan, was nach Art. 148 StGB zur Verwirklichung des Betrugstatbestandes erforderlich war. Entgegen der Behauptung des Beschwerdeführers haben sich die Parteien über den Kauf geeinigt, und BGE 96 IV 145 S. 148 sie waren nach der Feststellung der Vorinstanz auch überzeugt, dass der von ihnen unterzeichnete Kaufvertrag verbindlich sei. Dass eine Schädigung des Käufers nicht eingetreten ist, weil der Kaufvertrag wegen irrtümlicher Nichtbeachtung der in Art. 226a Abs. 2 OR für den Abzahlungsvertrag aufgestellten Formvorschriften nichtig war und der Käufer noch keine Zahlung geleistet hat, führt daher nicht zu einem Freispruch, sondern hat nur zur Folge, dass der Beschwerdeführer anstatt wegen vollendeten Betruges lediglich wegen Versuches zu bestrafen ist. Auch wenn die Parteien offen gelassen haben sollten, ob der Restkaufpreis in bar oder in Raten zu bezahlen sei, so wäre die verbrecherische Tätigkeit gleichwohl soweit ausgeführt worden, dass der Beschwerdeführer wegen Betrugsversuches bestraft werden müsste.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